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7F" w:rsidRDefault="00CC046F" w:rsidP="0013226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41C7F" w:rsidRDefault="00E41C7F" w:rsidP="0013226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32262" w:rsidRPr="00E41C7F" w:rsidRDefault="00132262" w:rsidP="00E41C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41C7F">
        <w:rPr>
          <w:rFonts w:ascii="Times New Roman" w:hAnsi="Times New Roman" w:cs="Times New Roman"/>
          <w:sz w:val="26"/>
          <w:szCs w:val="26"/>
        </w:rPr>
        <w:t>Об утверждении Порядка присвоения новых</w:t>
      </w:r>
      <w:r w:rsidR="00346547">
        <w:rPr>
          <w:rFonts w:ascii="Times New Roman" w:hAnsi="Times New Roman" w:cs="Times New Roman"/>
          <w:sz w:val="26"/>
          <w:szCs w:val="26"/>
        </w:rPr>
        <w:t xml:space="preserve"> </w:t>
      </w:r>
      <w:r w:rsidRPr="00E41C7F">
        <w:rPr>
          <w:rFonts w:ascii="Times New Roman" w:hAnsi="Times New Roman" w:cs="Times New Roman"/>
          <w:sz w:val="26"/>
          <w:szCs w:val="26"/>
        </w:rPr>
        <w:t xml:space="preserve">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FE081F" w:rsidRPr="00E41C7F">
        <w:rPr>
          <w:rFonts w:ascii="Times New Roman" w:hAnsi="Times New Roman" w:cs="Times New Roman"/>
          <w:sz w:val="26"/>
          <w:szCs w:val="26"/>
        </w:rPr>
        <w:t>Староянтузовский</w:t>
      </w:r>
      <w:r w:rsidRPr="00E41C7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Дюртюлинский район Республики Башкортостан </w:t>
      </w:r>
    </w:p>
    <w:p w:rsidR="002D131F" w:rsidRPr="00E41C7F" w:rsidRDefault="002D131F" w:rsidP="00E41C7F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</w:p>
    <w:p w:rsidR="007B74D5" w:rsidRPr="00E41C7F" w:rsidRDefault="00BE6ADA" w:rsidP="00E41C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7B74D5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уководствуясь Федеральным </w:t>
      </w:r>
      <w:hyperlink r:id="rId6" w:history="1">
        <w:r w:rsidR="007B74D5" w:rsidRPr="00E41C7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7B74D5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360FA6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7B74D5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360FA6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B74D5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60FA6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B74D5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 w:history="1">
        <w:r w:rsidR="007B74D5" w:rsidRPr="00E41C7F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7B74D5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образования, с целью упорядочения наименований улиц, площадей и иных территорий в </w:t>
      </w:r>
      <w:r w:rsidR="00966574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сельском поселении</w:t>
      </w:r>
      <w:r w:rsidR="00360FA6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B74D5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 </w:t>
      </w:r>
      <w:r w:rsidR="00966574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FE081F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Староянтузовский</w:t>
      </w:r>
      <w:r w:rsidR="00966574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FE081F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32262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РЕШИЛ</w:t>
      </w:r>
      <w:r w:rsidR="007B74D5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B74D5" w:rsidRPr="00E41C7F" w:rsidRDefault="007B74D5" w:rsidP="00E41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</w:t>
      </w:r>
      <w:r w:rsidR="00132262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прилагаемый</w:t>
      </w:r>
      <w:r w:rsidR="00FE081F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36" w:history="1">
        <w:r w:rsidRPr="00E41C7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132262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FE081F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Староянтузовский</w:t>
      </w:r>
      <w:r w:rsidR="00132262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32262" w:rsidRPr="00E41C7F" w:rsidRDefault="00132262" w:rsidP="00E41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решение Совета сельского </w:t>
      </w:r>
      <w:r w:rsidR="00FE081F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Староянтузовский</w:t>
      </w:r>
      <w:r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 от 31.08.2012. № 8</w:t>
      </w:r>
      <w:r w:rsidR="00FE081F"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41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E41C7F">
        <w:rPr>
          <w:rFonts w:ascii="Times New Roman" w:hAnsi="Times New Roman"/>
          <w:sz w:val="26"/>
          <w:szCs w:val="26"/>
        </w:rPr>
        <w:t xml:space="preserve">Об утверждении Порядка присвоения наименований улицам, площадям и иным территориям проживания граждан, их переименования в сельском поселении </w:t>
      </w:r>
      <w:r w:rsidR="00FE081F" w:rsidRPr="00E41C7F">
        <w:rPr>
          <w:rFonts w:ascii="Times New Roman" w:hAnsi="Times New Roman"/>
          <w:sz w:val="26"/>
          <w:szCs w:val="26"/>
        </w:rPr>
        <w:t>Староянтузовский</w:t>
      </w:r>
      <w:r w:rsidRPr="00E41C7F">
        <w:rPr>
          <w:rFonts w:ascii="Times New Roman" w:hAnsi="Times New Roman"/>
          <w:sz w:val="26"/>
          <w:szCs w:val="26"/>
        </w:rPr>
        <w:t xml:space="preserve"> сельсовет муниципального района Дюртюлинский район Республики Башкортостан»</w:t>
      </w:r>
      <w:r w:rsidR="005D770B" w:rsidRPr="00E41C7F">
        <w:rPr>
          <w:rFonts w:ascii="Times New Roman" w:hAnsi="Times New Roman"/>
          <w:sz w:val="26"/>
          <w:szCs w:val="26"/>
        </w:rPr>
        <w:t>.</w:t>
      </w:r>
    </w:p>
    <w:p w:rsidR="00132262" w:rsidRPr="00E41C7F" w:rsidRDefault="00132262" w:rsidP="00E41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1C7F">
        <w:rPr>
          <w:rFonts w:ascii="Times New Roman" w:hAnsi="Times New Roman" w:cs="Times New Roman"/>
          <w:sz w:val="26"/>
          <w:szCs w:val="26"/>
        </w:rPr>
        <w:t>Обнародовать настоящее решение на официальном сайте</w:t>
      </w:r>
      <w:r w:rsidRPr="00E41C7F">
        <w:rPr>
          <w:rFonts w:ascii="Times New Roman" w:hAnsi="Times New Roman" w:cs="Times New Roman"/>
          <w:sz w:val="26"/>
          <w:szCs w:val="26"/>
          <w:lang w:bidi="he-IL"/>
        </w:rPr>
        <w:t xml:space="preserve"> сельского поселения </w:t>
      </w:r>
      <w:r w:rsidR="00FE081F" w:rsidRPr="00E41C7F">
        <w:rPr>
          <w:rFonts w:ascii="Times New Roman" w:hAnsi="Times New Roman" w:cs="Times New Roman"/>
          <w:sz w:val="26"/>
          <w:szCs w:val="26"/>
          <w:lang w:bidi="he-IL"/>
        </w:rPr>
        <w:t>Староянтузовский</w:t>
      </w:r>
      <w:r w:rsidRPr="00E41C7F">
        <w:rPr>
          <w:rFonts w:ascii="Times New Roman" w:hAnsi="Times New Roman" w:cs="Times New Roman"/>
          <w:sz w:val="26"/>
          <w:szCs w:val="26"/>
          <w:lang w:bidi="he-IL"/>
        </w:rPr>
        <w:t xml:space="preserve"> сельсовет</w:t>
      </w:r>
      <w:r w:rsidR="00FE081F" w:rsidRPr="00E41C7F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E41C7F">
        <w:rPr>
          <w:rFonts w:ascii="Times New Roman" w:hAnsi="Times New Roman" w:cs="Times New Roman"/>
          <w:sz w:val="26"/>
          <w:szCs w:val="26"/>
          <w:lang w:bidi="he-IL"/>
        </w:rPr>
        <w:t>муниципального района Дюртюлинский район Республики Башкортостан в сети «Интернет».</w:t>
      </w:r>
    </w:p>
    <w:p w:rsidR="00132262" w:rsidRPr="00E41C7F" w:rsidRDefault="00132262" w:rsidP="00E41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1C7F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обнародования.</w:t>
      </w:r>
    </w:p>
    <w:p w:rsidR="00132262" w:rsidRPr="00E41C7F" w:rsidRDefault="00132262" w:rsidP="00E41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41C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1C7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r w:rsidR="00FE081F" w:rsidRPr="00E41C7F">
        <w:rPr>
          <w:rFonts w:ascii="Times New Roman" w:hAnsi="Times New Roman" w:cs="Times New Roman"/>
          <w:sz w:val="26"/>
          <w:szCs w:val="26"/>
        </w:rPr>
        <w:t>Гареев Р.Б.</w:t>
      </w:r>
      <w:r w:rsidRPr="00E41C7F">
        <w:rPr>
          <w:rFonts w:ascii="Times New Roman" w:hAnsi="Times New Roman" w:cs="Times New Roman"/>
          <w:sz w:val="26"/>
          <w:szCs w:val="26"/>
        </w:rPr>
        <w:t>)</w:t>
      </w:r>
    </w:p>
    <w:p w:rsidR="00132262" w:rsidRPr="00E41C7F" w:rsidRDefault="00132262" w:rsidP="00E41C7F">
      <w:pPr>
        <w:pStyle w:val="2"/>
        <w:tabs>
          <w:tab w:val="left" w:pos="11700"/>
        </w:tabs>
        <w:spacing w:line="240" w:lineRule="auto"/>
        <w:ind w:firstLine="709"/>
        <w:rPr>
          <w:sz w:val="26"/>
          <w:szCs w:val="26"/>
        </w:rPr>
      </w:pPr>
    </w:p>
    <w:p w:rsidR="00132262" w:rsidRPr="00E41C7F" w:rsidRDefault="00132262" w:rsidP="00E41C7F">
      <w:pPr>
        <w:jc w:val="both"/>
        <w:rPr>
          <w:bCs/>
          <w:color w:val="323232"/>
          <w:sz w:val="26"/>
          <w:szCs w:val="26"/>
        </w:rPr>
      </w:pPr>
      <w:r w:rsidRPr="00E41C7F">
        <w:rPr>
          <w:bCs/>
          <w:color w:val="323232"/>
          <w:sz w:val="26"/>
          <w:szCs w:val="26"/>
        </w:rPr>
        <w:t>Глава сельского поселения                                                                 Р</w:t>
      </w:r>
      <w:r w:rsidR="00FE081F" w:rsidRPr="00E41C7F">
        <w:rPr>
          <w:bCs/>
          <w:color w:val="323232"/>
          <w:sz w:val="26"/>
          <w:szCs w:val="26"/>
        </w:rPr>
        <w:t>.Х.Галяуов</w:t>
      </w:r>
    </w:p>
    <w:p w:rsidR="00FE081F" w:rsidRDefault="00FE081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346547" w:rsidRDefault="00346547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C046F" w:rsidRDefault="00CC046F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71459" w:rsidRPr="00E41C7F" w:rsidRDefault="00E71459" w:rsidP="00FE081F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41C7F">
        <w:rPr>
          <w:bCs/>
        </w:rPr>
        <w:lastRenderedPageBreak/>
        <w:t>Приложение</w:t>
      </w:r>
    </w:p>
    <w:p w:rsidR="00132262" w:rsidRPr="00E41C7F" w:rsidRDefault="00E71459" w:rsidP="00FE081F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41C7F">
        <w:rPr>
          <w:bCs/>
        </w:rPr>
        <w:t xml:space="preserve">к решению </w:t>
      </w:r>
      <w:r w:rsidR="00132262" w:rsidRPr="00E41C7F">
        <w:rPr>
          <w:bCs/>
        </w:rPr>
        <w:t xml:space="preserve"> Совета сельского</w:t>
      </w:r>
    </w:p>
    <w:p w:rsidR="00132262" w:rsidRPr="00E41C7F" w:rsidRDefault="00132262" w:rsidP="00FE081F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41C7F">
        <w:rPr>
          <w:bCs/>
        </w:rPr>
        <w:t xml:space="preserve"> поселения </w:t>
      </w:r>
      <w:r w:rsidR="00FE081F" w:rsidRPr="00E41C7F">
        <w:rPr>
          <w:bCs/>
        </w:rPr>
        <w:t>Староянтузовский</w:t>
      </w:r>
      <w:r w:rsidRPr="00E41C7F">
        <w:rPr>
          <w:bCs/>
        </w:rPr>
        <w:t xml:space="preserve"> сельсовет </w:t>
      </w:r>
    </w:p>
    <w:p w:rsidR="00132262" w:rsidRPr="00E41C7F" w:rsidRDefault="00132262" w:rsidP="00FE081F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41C7F">
        <w:rPr>
          <w:bCs/>
        </w:rPr>
        <w:t>муниципального района Дюртюлинский</w:t>
      </w:r>
    </w:p>
    <w:p w:rsidR="00E71459" w:rsidRPr="00E41C7F" w:rsidRDefault="00132262" w:rsidP="00FE081F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 w:rsidRPr="00E41C7F">
        <w:rPr>
          <w:bCs/>
        </w:rPr>
        <w:t xml:space="preserve"> район Республики Башкортостан</w:t>
      </w:r>
    </w:p>
    <w:p w:rsidR="00E71459" w:rsidRPr="00E41C7F" w:rsidRDefault="00966574" w:rsidP="00FE081F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41C7F">
        <w:rPr>
          <w:bCs/>
        </w:rPr>
        <w:t xml:space="preserve">от </w:t>
      </w:r>
      <w:r w:rsidR="00CC046F">
        <w:rPr>
          <w:bCs/>
        </w:rPr>
        <w:t>____________</w:t>
      </w:r>
      <w:r w:rsidR="00E71459" w:rsidRPr="00E41C7F">
        <w:rPr>
          <w:bCs/>
        </w:rPr>
        <w:t xml:space="preserve"> № </w:t>
      </w:r>
      <w:r w:rsidR="00CC046F">
        <w:rPr>
          <w:bCs/>
        </w:rPr>
        <w:t>______</w:t>
      </w:r>
    </w:p>
    <w:p w:rsidR="00CF4401" w:rsidRDefault="00CF4401" w:rsidP="00FE08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70B" w:rsidRPr="00966574" w:rsidRDefault="005D770B" w:rsidP="00FE08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66574">
        <w:rPr>
          <w:rFonts w:ascii="Times New Roman" w:hAnsi="Times New Roman" w:cs="Times New Roman"/>
          <w:sz w:val="28"/>
          <w:szCs w:val="28"/>
        </w:rPr>
        <w:t xml:space="preserve">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FE081F"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5D770B" w:rsidRPr="00966574" w:rsidRDefault="005D770B" w:rsidP="00FE08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FE08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966574" w:rsidRDefault="007B74D5" w:rsidP="00F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6574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081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Законом Российской Федерации от 14.01.1993</w:t>
      </w:r>
      <w:proofErr w:type="gramEnd"/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4292-1 «Об увековечении памяти погибших  при защите Отечества»,</w:t>
      </w:r>
      <w:r w:rsidR="00FE0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FE081F">
        <w:t xml:space="preserve"> </w:t>
      </w:r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FE081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(далее –</w:t>
      </w:r>
      <w:r w:rsidR="009665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D770B" w:rsidRPr="00966574">
        <w:rPr>
          <w:rFonts w:ascii="Times New Roman" w:hAnsi="Times New Roman" w:cs="Times New Roman"/>
          <w:sz w:val="28"/>
          <w:szCs w:val="28"/>
        </w:rPr>
        <w:t>)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41C7F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Pr="0096657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7B74D5" w:rsidP="00FE081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, производится на основании соответствующего порядка, утвержденного представительным органом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39230F" w:rsidP="00FE081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966574" w:rsidRDefault="0039230F" w:rsidP="00FE081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574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при защите Отечества».</w:t>
      </w:r>
    </w:p>
    <w:p w:rsidR="007B74D5" w:rsidRPr="00966574" w:rsidRDefault="007B74D5" w:rsidP="00FE08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lastRenderedPageBreak/>
        <w:t>2. Основные требования, предъявляемые к наименованию улиц,</w:t>
      </w:r>
    </w:p>
    <w:p w:rsidR="007B74D5" w:rsidRPr="00966574" w:rsidRDefault="007B74D5" w:rsidP="00FE0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966574" w:rsidRDefault="007B74D5" w:rsidP="00FE0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2D131F" w:rsidRPr="00966574" w:rsidRDefault="002D131F" w:rsidP="00FE0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966574">
        <w:rPr>
          <w:rFonts w:ascii="Times New Roman" w:hAnsi="Times New Roman" w:cs="Times New Roman"/>
          <w:sz w:val="28"/>
          <w:szCs w:val="28"/>
        </w:rPr>
        <w:t>литературного языка, быть благозвучными, удобными для произношения, легко запоминающимися.</w:t>
      </w:r>
    </w:p>
    <w:p w:rsidR="0039230F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966574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F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FE08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966574" w:rsidRDefault="007B74D5" w:rsidP="00FE0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966574" w:rsidRDefault="007B74D5" w:rsidP="00F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966574">
        <w:rPr>
          <w:rFonts w:ascii="Times New Roman" w:hAnsi="Times New Roman" w:cs="Times New Roman"/>
          <w:sz w:val="28"/>
          <w:szCs w:val="28"/>
        </w:rPr>
        <w:t>сельском посел</w:t>
      </w:r>
      <w:r w:rsidR="00CE245A" w:rsidRPr="00966574">
        <w:rPr>
          <w:rFonts w:ascii="Times New Roman" w:hAnsi="Times New Roman" w:cs="Times New Roman"/>
          <w:sz w:val="28"/>
          <w:szCs w:val="28"/>
        </w:rPr>
        <w:t>ении</w:t>
      </w:r>
      <w:r w:rsidRPr="00966574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5</w:t>
      </w:r>
      <w:r w:rsidRPr="00966574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966574" w:rsidRDefault="007B74D5" w:rsidP="00F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FE08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966574" w:rsidRDefault="007B74D5" w:rsidP="00FE0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966574" w:rsidRDefault="007B74D5" w:rsidP="00FE0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B74D5" w:rsidRPr="00966574" w:rsidRDefault="007B74D5" w:rsidP="00F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966574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 главы сельского поселения;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</w:t>
      </w:r>
      <w:r w:rsidRPr="0096657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4.1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сведения, указанные на официальном бланке соответствующего инициатора</w:t>
      </w:r>
      <w:r w:rsidRPr="00966574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966574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  <w:bookmarkStart w:id="2" w:name="_GoBack"/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966574">
        <w:rPr>
          <w:rFonts w:ascii="Times New Roman" w:hAnsi="Times New Roman" w:cs="Times New Roman"/>
          <w:sz w:val="28"/>
          <w:szCs w:val="28"/>
        </w:rPr>
        <w:t xml:space="preserve">4.3.2. Обоснование присвоения наименования (переименования) элемента </w:t>
      </w:r>
      <w:bookmarkEnd w:id="2"/>
      <w:r w:rsidRPr="00966574">
        <w:rPr>
          <w:rFonts w:ascii="Times New Roman" w:hAnsi="Times New Roman" w:cs="Times New Roman"/>
          <w:sz w:val="28"/>
          <w:szCs w:val="28"/>
        </w:rPr>
        <w:t>планировочной структуры должно содержать указание на один из следующих факторов: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966574" w:rsidRDefault="007B74D5" w:rsidP="00F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FE08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966574" w:rsidRDefault="007B74D5" w:rsidP="00FE0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6574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966574" w:rsidRDefault="007B74D5" w:rsidP="00FE08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966574" w:rsidRDefault="007B74D5" w:rsidP="00F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FE081F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966574" w:rsidRDefault="007B74D5" w:rsidP="00FE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966574" w:rsidRDefault="007B74D5" w:rsidP="00FE0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966574" w:rsidSect="00E41C7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DA1"/>
    <w:multiLevelType w:val="hybridMultilevel"/>
    <w:tmpl w:val="96666880"/>
    <w:lvl w:ilvl="0" w:tplc="0412A5D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FD442C"/>
    <w:multiLevelType w:val="hybridMultilevel"/>
    <w:tmpl w:val="BC5A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D5"/>
    <w:rsid w:val="000C22AD"/>
    <w:rsid w:val="000D68A2"/>
    <w:rsid w:val="00132262"/>
    <w:rsid w:val="002C3FF2"/>
    <w:rsid w:val="002D131F"/>
    <w:rsid w:val="00346547"/>
    <w:rsid w:val="00353A97"/>
    <w:rsid w:val="00360FA6"/>
    <w:rsid w:val="00381666"/>
    <w:rsid w:val="0039230F"/>
    <w:rsid w:val="004077E9"/>
    <w:rsid w:val="005401B0"/>
    <w:rsid w:val="005D770B"/>
    <w:rsid w:val="00616740"/>
    <w:rsid w:val="006A5FDA"/>
    <w:rsid w:val="00712A1C"/>
    <w:rsid w:val="007B74D5"/>
    <w:rsid w:val="00827CBD"/>
    <w:rsid w:val="0083460C"/>
    <w:rsid w:val="00966574"/>
    <w:rsid w:val="00B10DD1"/>
    <w:rsid w:val="00BE6ADA"/>
    <w:rsid w:val="00C10D85"/>
    <w:rsid w:val="00C360D1"/>
    <w:rsid w:val="00C66C56"/>
    <w:rsid w:val="00CB6A58"/>
    <w:rsid w:val="00CC046F"/>
    <w:rsid w:val="00CE245A"/>
    <w:rsid w:val="00CF4401"/>
    <w:rsid w:val="00D051EE"/>
    <w:rsid w:val="00E41C7F"/>
    <w:rsid w:val="00E71459"/>
    <w:rsid w:val="00E9771E"/>
    <w:rsid w:val="00F36CA9"/>
    <w:rsid w:val="00FE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92A1-83FE-459D-8D3A-ED7CF82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3</cp:revision>
  <cp:lastPrinted>2020-07-21T11:32:00Z</cp:lastPrinted>
  <dcterms:created xsi:type="dcterms:W3CDTF">2020-12-26T11:51:00Z</dcterms:created>
  <dcterms:modified xsi:type="dcterms:W3CDTF">2020-12-26T11:51:00Z</dcterms:modified>
</cp:coreProperties>
</file>